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1F7C" w14:textId="77777777" w:rsidR="00873F3D" w:rsidRDefault="00873F3D" w:rsidP="001B5130">
      <w:pPr>
        <w:jc w:val="center"/>
        <w:rPr>
          <w:b/>
          <w:sz w:val="40"/>
        </w:rPr>
      </w:pPr>
      <w:r w:rsidRPr="00873F3D">
        <w:rPr>
          <w:b/>
          <w:sz w:val="40"/>
        </w:rPr>
        <w:t>Validity of Imbert-Fick Law in the measurement of intraocular pressure</w:t>
      </w:r>
    </w:p>
    <w:p w14:paraId="245A5667" w14:textId="1556DB42" w:rsidR="001B5130" w:rsidRPr="007E45DA" w:rsidRDefault="001B5130" w:rsidP="001B5130">
      <w:pPr>
        <w:jc w:val="center"/>
        <w:rPr>
          <w:b/>
          <w:sz w:val="28"/>
        </w:rPr>
      </w:pPr>
      <w:r w:rsidRPr="007E45DA">
        <w:rPr>
          <w:b/>
          <w:sz w:val="28"/>
        </w:rPr>
        <w:t>MSc Project Proposal</w:t>
      </w:r>
    </w:p>
    <w:p w14:paraId="38B17041" w14:textId="039D9B0E" w:rsidR="001B5130" w:rsidRPr="007E45DA" w:rsidRDefault="00DE6D1C" w:rsidP="00DB12E6">
      <w:pPr>
        <w:pStyle w:val="Heading1"/>
      </w:pPr>
      <w:r>
        <w:t>Background</w:t>
      </w:r>
    </w:p>
    <w:p w14:paraId="423241A4" w14:textId="0A638B2B" w:rsidR="007E45DA" w:rsidRDefault="00752803" w:rsidP="00DE6D1C">
      <w:r>
        <w:rPr>
          <w:noProof/>
        </w:rPr>
        <w:drawing>
          <wp:anchor distT="0" distB="0" distL="114300" distR="114300" simplePos="0" relativeHeight="251658240" behindDoc="1" locked="0" layoutInCell="1" allowOverlap="1" wp14:anchorId="131DC342" wp14:editId="5ECAAF72">
            <wp:simplePos x="0" y="0"/>
            <wp:positionH relativeFrom="margin">
              <wp:posOffset>3131820</wp:posOffset>
            </wp:positionH>
            <wp:positionV relativeFrom="paragraph">
              <wp:posOffset>10160</wp:posOffset>
            </wp:positionV>
            <wp:extent cx="3512185" cy="2633345"/>
            <wp:effectExtent l="0" t="0" r="0" b="0"/>
            <wp:wrapTight wrapText="bothSides">
              <wp:wrapPolygon edited="0">
                <wp:start x="0" y="0"/>
                <wp:lineTo x="0" y="21407"/>
                <wp:lineTo x="21440" y="21407"/>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2185" cy="2633345"/>
                    </a:xfrm>
                    <a:prstGeom prst="rect">
                      <a:avLst/>
                    </a:prstGeom>
                    <a:noFill/>
                  </pic:spPr>
                </pic:pic>
              </a:graphicData>
            </a:graphic>
            <wp14:sizeRelH relativeFrom="page">
              <wp14:pctWidth>0</wp14:pctWidth>
            </wp14:sizeRelH>
            <wp14:sizeRelV relativeFrom="page">
              <wp14:pctHeight>0</wp14:pctHeight>
            </wp14:sizeRelV>
          </wp:anchor>
        </w:drawing>
      </w:r>
      <w:r w:rsidR="00DE6D1C" w:rsidRPr="00DE6D1C">
        <w:t xml:space="preserve">Intraocular pressure (IOP) measurement is an important parameter in the detection and monitoring of glaucoma. Measurement of IOP is assumed to be accurate, with the </w:t>
      </w:r>
      <w:proofErr w:type="spellStart"/>
      <w:r w:rsidR="00DE6D1C" w:rsidRPr="00DE6D1C">
        <w:t>Goldmann</w:t>
      </w:r>
      <w:proofErr w:type="spellEnd"/>
      <w:r w:rsidR="00DE6D1C" w:rsidRPr="00DE6D1C">
        <w:t xml:space="preserve"> applanation tonometer becoming the international gold standard for IOP measurement. It is also generally assumed that </w:t>
      </w:r>
      <w:proofErr w:type="spellStart"/>
      <w:r w:rsidR="00DE6D1C" w:rsidRPr="00DE6D1C">
        <w:t>Goldmann</w:t>
      </w:r>
      <w:proofErr w:type="spellEnd"/>
      <w:r w:rsidR="00DE6D1C" w:rsidRPr="00DE6D1C">
        <w:t xml:space="preserve"> tonometry is equally accurate in all eyes and is not influenced by ocular parameters such as corneal thickness and radius of curvature. However, this assumption is increasingly being called into question. Measurement of IOP by applanation tonometry is based on the Imbert-Fick law, which states that the force required to flatten or applanate a sphere (W) is equal to the product of the pressure inside the sphere (P) and the area applanated (A): W=P×A. </w:t>
      </w:r>
    </w:p>
    <w:p w14:paraId="1D0D034D" w14:textId="77C481DA" w:rsidR="001B5130" w:rsidRPr="007E45DA" w:rsidRDefault="00DE6D1C" w:rsidP="00DB12E6">
      <w:pPr>
        <w:pStyle w:val="Heading1"/>
      </w:pPr>
      <w:r>
        <w:t>Research aim</w:t>
      </w:r>
    </w:p>
    <w:p w14:paraId="38459557" w14:textId="77777777" w:rsidR="00DE6D1C" w:rsidRDefault="00DE6D1C" w:rsidP="001B5130">
      <w:r w:rsidRPr="00DE6D1C">
        <w:t>Study the validity of the Imbert-Fick Law for various corneal parameters using an experimental setup and computational model.</w:t>
      </w:r>
    </w:p>
    <w:p w14:paraId="7871446D" w14:textId="33D9819D" w:rsidR="001B5130" w:rsidRDefault="001B5130" w:rsidP="001B5130">
      <w:r>
        <w:t>The m</w:t>
      </w:r>
      <w:r w:rsidR="00DE6D1C">
        <w:t>ain objectives for</w:t>
      </w:r>
      <w:r>
        <w:t xml:space="preserve"> th</w:t>
      </w:r>
      <w:r w:rsidR="00DE6D1C">
        <w:t>is</w:t>
      </w:r>
      <w:r>
        <w:t xml:space="preserve"> study will </w:t>
      </w:r>
      <w:r w:rsidR="00DE6D1C">
        <w:t>include</w:t>
      </w:r>
      <w:r>
        <w:t>:</w:t>
      </w:r>
    </w:p>
    <w:p w14:paraId="0D76177D" w14:textId="77777777" w:rsidR="00DE6D1C" w:rsidRDefault="00DE6D1C" w:rsidP="00DE6D1C">
      <w:pPr>
        <w:pStyle w:val="ListParagraph"/>
        <w:numPr>
          <w:ilvl w:val="0"/>
          <w:numId w:val="9"/>
        </w:numPr>
        <w:rPr>
          <w:noProof/>
        </w:rPr>
      </w:pPr>
      <w:r>
        <w:rPr>
          <w:noProof/>
        </w:rPr>
        <w:t>Develop a computational model of a pressurised corneal structure with varying cornea thickness and curvature.</w:t>
      </w:r>
    </w:p>
    <w:p w14:paraId="066FD128" w14:textId="335201F9" w:rsidR="00DE6D1C" w:rsidRDefault="00AF6971" w:rsidP="00DE6D1C">
      <w:pPr>
        <w:pStyle w:val="ListParagraph"/>
        <w:numPr>
          <w:ilvl w:val="0"/>
          <w:numId w:val="9"/>
        </w:numPr>
        <w:rPr>
          <w:noProof/>
        </w:rPr>
      </w:pPr>
      <w:r>
        <w:rPr>
          <w:noProof/>
        </w:rPr>
        <w:t>Use finite element methods to compare tonometry simulation results</w:t>
      </w:r>
      <w:r w:rsidR="00DE6D1C">
        <w:rPr>
          <w:noProof/>
        </w:rPr>
        <w:t xml:space="preserve"> with a mathematical model of the Imbert-Fick law to determine its validity.</w:t>
      </w:r>
    </w:p>
    <w:p w14:paraId="5EB8C744" w14:textId="77777777" w:rsidR="001B5130" w:rsidRPr="007E45DA" w:rsidRDefault="001B5130" w:rsidP="00DB12E6">
      <w:pPr>
        <w:pStyle w:val="Heading1"/>
      </w:pPr>
      <w:r w:rsidRPr="007E45DA">
        <w:t>Your profile</w:t>
      </w:r>
    </w:p>
    <w:p w14:paraId="6E305298" w14:textId="43CFB2F3" w:rsidR="001B5130" w:rsidRDefault="001B5130" w:rsidP="00DE6D1C">
      <w:pPr>
        <w:pStyle w:val="ListParagraph"/>
        <w:numPr>
          <w:ilvl w:val="0"/>
          <w:numId w:val="10"/>
        </w:numPr>
      </w:pPr>
      <w:r>
        <w:t xml:space="preserve">Basic knowledge of </w:t>
      </w:r>
      <w:r w:rsidR="00962C06">
        <w:t>mechanics and ANSYS FEM.</w:t>
      </w:r>
    </w:p>
    <w:p w14:paraId="3E688FD8" w14:textId="40FB1AA5" w:rsidR="006378C7" w:rsidRDefault="006378C7" w:rsidP="00DE6D1C">
      <w:pPr>
        <w:pStyle w:val="ListParagraph"/>
        <w:numPr>
          <w:ilvl w:val="0"/>
          <w:numId w:val="10"/>
        </w:numPr>
      </w:pPr>
      <w:r>
        <w:t>Willingness to do self-study on eye anatomy</w:t>
      </w:r>
      <w:r w:rsidR="00E02E5A">
        <w:t xml:space="preserve">, </w:t>
      </w:r>
      <w:r w:rsidR="00962C06">
        <w:t>glaucoma, and IOP measurement devices.</w:t>
      </w:r>
    </w:p>
    <w:p w14:paraId="4EDD81FC" w14:textId="77777777" w:rsidR="001B5130" w:rsidRPr="007E45DA" w:rsidRDefault="001B5130" w:rsidP="00DB12E6">
      <w:pPr>
        <w:pStyle w:val="Heading1"/>
      </w:pPr>
      <w:r w:rsidRPr="007E45DA">
        <w:t>Project details</w:t>
      </w:r>
    </w:p>
    <w:p w14:paraId="22D088A0" w14:textId="0BEB78D1" w:rsidR="001B5130" w:rsidRDefault="001B5130" w:rsidP="007E45DA">
      <w:pPr>
        <w:pStyle w:val="ListParagraph"/>
        <w:numPr>
          <w:ilvl w:val="0"/>
          <w:numId w:val="8"/>
        </w:numPr>
      </w:pPr>
      <w:r>
        <w:t xml:space="preserve">The work will be carried out at </w:t>
      </w:r>
      <w:r w:rsidR="00705EC0">
        <w:t xml:space="preserve">the </w:t>
      </w:r>
      <w:r>
        <w:t>University of Twente</w:t>
      </w:r>
      <w:r w:rsidR="00705EC0">
        <w:t>.</w:t>
      </w:r>
    </w:p>
    <w:p w14:paraId="58C170CC" w14:textId="356BB6B5" w:rsidR="00705EC0" w:rsidRDefault="00705EC0" w:rsidP="007E45DA">
      <w:pPr>
        <w:pStyle w:val="ListParagraph"/>
        <w:numPr>
          <w:ilvl w:val="0"/>
          <w:numId w:val="8"/>
        </w:numPr>
      </w:pPr>
      <w:r>
        <w:t>The project will be co-supervised by A/Prof Wei Hua Ho from the University of the Witwatersrand in South Africa.</w:t>
      </w:r>
    </w:p>
    <w:p w14:paraId="35162111" w14:textId="06662535" w:rsidR="001B5130" w:rsidRDefault="001B5130" w:rsidP="007E45DA">
      <w:pPr>
        <w:pStyle w:val="ListParagraph"/>
        <w:numPr>
          <w:ilvl w:val="0"/>
          <w:numId w:val="8"/>
        </w:numPr>
      </w:pPr>
      <w:r>
        <w:t xml:space="preserve">The </w:t>
      </w:r>
      <w:r w:rsidR="005812D8">
        <w:t xml:space="preserve">total </w:t>
      </w:r>
      <w:r>
        <w:t xml:space="preserve">duration will be </w:t>
      </w:r>
      <w:r w:rsidR="005812D8">
        <w:t>10</w:t>
      </w:r>
      <w:r w:rsidR="00705EC0">
        <w:t xml:space="preserve"> months.</w:t>
      </w:r>
    </w:p>
    <w:p w14:paraId="5A197E0F" w14:textId="77777777" w:rsidR="007B2734" w:rsidRDefault="007B2734" w:rsidP="00DB12E6">
      <w:pPr>
        <w:pStyle w:val="Heading1"/>
      </w:pPr>
      <w:r>
        <w:t>Literature</w:t>
      </w:r>
    </w:p>
    <w:p w14:paraId="1F05E6A2" w14:textId="77777777" w:rsidR="00694407" w:rsidRPr="00694407" w:rsidRDefault="00694407" w:rsidP="00694407">
      <w:pPr>
        <w:pStyle w:val="ListParagraph"/>
        <w:ind w:left="360"/>
      </w:pPr>
      <w:r w:rsidRPr="00694407">
        <w:t xml:space="preserve">Some </w:t>
      </w:r>
      <w:r>
        <w:t>links to literature on the panel method, spline theory, and constrained optimization:</w:t>
      </w:r>
    </w:p>
    <w:p w14:paraId="1493BF28" w14:textId="4F6637FA" w:rsidR="005D7EB1" w:rsidRDefault="005D7EB1" w:rsidP="005D7EB1">
      <w:pPr>
        <w:pStyle w:val="ListParagraph"/>
        <w:numPr>
          <w:ilvl w:val="0"/>
          <w:numId w:val="8"/>
        </w:numPr>
        <w:rPr>
          <w:bCs/>
        </w:rPr>
      </w:pPr>
      <w:proofErr w:type="spellStart"/>
      <w:r w:rsidRPr="005D7EB1">
        <w:rPr>
          <w:bCs/>
        </w:rPr>
        <w:t>Goldmann</w:t>
      </w:r>
      <w:proofErr w:type="spellEnd"/>
      <w:r w:rsidRPr="005D7EB1">
        <w:rPr>
          <w:bCs/>
        </w:rPr>
        <w:t xml:space="preserve"> Applanation Tonometer</w:t>
      </w:r>
      <w:r>
        <w:rPr>
          <w:bCs/>
        </w:rPr>
        <w:t xml:space="preserve">, </w:t>
      </w:r>
      <w:hyperlink r:id="rId6" w:history="1">
        <w:r w:rsidRPr="005E188E">
          <w:rPr>
            <w:rStyle w:val="Hyperlink"/>
            <w:bCs/>
          </w:rPr>
          <w:t>https://www.sciencedirect.com/topics/nursing-and-health-professions/goldmann-applanation-tonometer</w:t>
        </w:r>
      </w:hyperlink>
      <w:r>
        <w:rPr>
          <w:bCs/>
        </w:rPr>
        <w:t>.</w:t>
      </w:r>
    </w:p>
    <w:p w14:paraId="5B7A7EC8" w14:textId="1F7E3F3A" w:rsidR="005D7EB1" w:rsidRDefault="005D7EB1" w:rsidP="005D7EB1">
      <w:pPr>
        <w:pStyle w:val="ListParagraph"/>
        <w:numPr>
          <w:ilvl w:val="0"/>
          <w:numId w:val="8"/>
        </w:numPr>
        <w:rPr>
          <w:bCs/>
        </w:rPr>
      </w:pPr>
      <w:r w:rsidRPr="005D7EB1">
        <w:rPr>
          <w:bCs/>
        </w:rPr>
        <w:t xml:space="preserve">McCafferty, S., Levine, J., </w:t>
      </w:r>
      <w:proofErr w:type="spellStart"/>
      <w:r w:rsidRPr="005D7EB1">
        <w:rPr>
          <w:bCs/>
        </w:rPr>
        <w:t>Schwiegerling</w:t>
      </w:r>
      <w:proofErr w:type="spellEnd"/>
      <w:r w:rsidRPr="005D7EB1">
        <w:rPr>
          <w:bCs/>
        </w:rPr>
        <w:t xml:space="preserve">, J. et al. </w:t>
      </w:r>
      <w:proofErr w:type="spellStart"/>
      <w:r w:rsidRPr="005D7EB1">
        <w:rPr>
          <w:bCs/>
        </w:rPr>
        <w:t>Goldmann</w:t>
      </w:r>
      <w:proofErr w:type="spellEnd"/>
      <w:r w:rsidRPr="005D7EB1">
        <w:rPr>
          <w:bCs/>
        </w:rPr>
        <w:t xml:space="preserve"> applanation tonometry error relative to true intracameral intraocular pressure in vitro and in vivo. BMC </w:t>
      </w:r>
      <w:proofErr w:type="spellStart"/>
      <w:r w:rsidRPr="005D7EB1">
        <w:rPr>
          <w:bCs/>
        </w:rPr>
        <w:t>Ophthalmol</w:t>
      </w:r>
      <w:proofErr w:type="spellEnd"/>
      <w:r w:rsidRPr="005D7EB1">
        <w:rPr>
          <w:bCs/>
        </w:rPr>
        <w:t xml:space="preserve"> 17, 215 (2017). </w:t>
      </w:r>
      <w:hyperlink r:id="rId7" w:history="1">
        <w:r w:rsidRPr="005E188E">
          <w:rPr>
            <w:rStyle w:val="Hyperlink"/>
            <w:bCs/>
          </w:rPr>
          <w:t>https://doi.org/10.1186/s12886-017-0608-y</w:t>
        </w:r>
      </w:hyperlink>
      <w:r>
        <w:rPr>
          <w:bCs/>
        </w:rPr>
        <w:t>.</w:t>
      </w:r>
    </w:p>
    <w:p w14:paraId="6F9793E3" w14:textId="0D9374BE" w:rsidR="0048351D" w:rsidRPr="0048351D" w:rsidRDefault="0048351D" w:rsidP="0048351D">
      <w:pPr>
        <w:pStyle w:val="ListParagraph"/>
        <w:numPr>
          <w:ilvl w:val="0"/>
          <w:numId w:val="8"/>
        </w:numPr>
        <w:rPr>
          <w:bCs/>
        </w:rPr>
      </w:pPr>
      <w:proofErr w:type="spellStart"/>
      <w:r>
        <w:rPr>
          <w:rFonts w:ascii="Segoe UI" w:hAnsi="Segoe UI" w:cs="Segoe UI"/>
          <w:color w:val="212121"/>
          <w:shd w:val="clear" w:color="auto" w:fill="FFFFFF"/>
        </w:rPr>
        <w:lastRenderedPageBreak/>
        <w:t>Asejczyk-Widlicka</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Srodka</w:t>
      </w:r>
      <w:proofErr w:type="spellEnd"/>
      <w:r>
        <w:rPr>
          <w:rFonts w:ascii="Segoe UI" w:hAnsi="Segoe UI" w:cs="Segoe UI"/>
          <w:color w:val="212121"/>
          <w:shd w:val="clear" w:color="auto" w:fill="FFFFFF"/>
        </w:rPr>
        <w:t xml:space="preserve"> W. </w:t>
      </w:r>
      <w:hyperlink r:id="rId8" w:history="1">
        <w:r w:rsidRPr="0048351D">
          <w:rPr>
            <w:rStyle w:val="Hyperlink"/>
            <w:rFonts w:ascii="Segoe UI" w:hAnsi="Segoe UI" w:cs="Segoe UI"/>
            <w:shd w:val="clear" w:color="auto" w:fill="FFFFFF"/>
          </w:rPr>
          <w:t xml:space="preserve">Finite element simulation of </w:t>
        </w:r>
        <w:proofErr w:type="spellStart"/>
        <w:r w:rsidRPr="0048351D">
          <w:rPr>
            <w:rStyle w:val="Hyperlink"/>
            <w:rFonts w:ascii="Segoe UI" w:hAnsi="Segoe UI" w:cs="Segoe UI"/>
            <w:shd w:val="clear" w:color="auto" w:fill="FFFFFF"/>
          </w:rPr>
          <w:t>Goldmann</w:t>
        </w:r>
        <w:proofErr w:type="spellEnd"/>
        <w:r w:rsidRPr="0048351D">
          <w:rPr>
            <w:rStyle w:val="Hyperlink"/>
            <w:rFonts w:ascii="Segoe UI" w:hAnsi="Segoe UI" w:cs="Segoe UI"/>
            <w:shd w:val="clear" w:color="auto" w:fill="FFFFFF"/>
          </w:rPr>
          <w:t xml:space="preserve"> tonometry after refractive surgery</w:t>
        </w:r>
      </w:hyperlink>
      <w:r>
        <w:rPr>
          <w:rFonts w:ascii="Segoe UI" w:hAnsi="Segoe UI" w:cs="Segoe UI"/>
          <w:color w:val="212121"/>
          <w:shd w:val="clear" w:color="auto" w:fill="FFFFFF"/>
        </w:rPr>
        <w:t xml:space="preserve">. Clin </w:t>
      </w:r>
      <w:proofErr w:type="spellStart"/>
      <w:r>
        <w:rPr>
          <w:rFonts w:ascii="Segoe UI" w:hAnsi="Segoe UI" w:cs="Segoe UI"/>
          <w:color w:val="212121"/>
          <w:shd w:val="clear" w:color="auto" w:fill="FFFFFF"/>
        </w:rPr>
        <w:t>Biomech</w:t>
      </w:r>
      <w:proofErr w:type="spellEnd"/>
      <w:r>
        <w:rPr>
          <w:rFonts w:ascii="Segoe UI" w:hAnsi="Segoe UI" w:cs="Segoe UI"/>
          <w:color w:val="212121"/>
          <w:shd w:val="clear" w:color="auto" w:fill="FFFFFF"/>
        </w:rPr>
        <w:t xml:space="preserve"> (Bristol, Avon). 2020 </w:t>
      </w:r>
      <w:proofErr w:type="gramStart"/>
      <w:r>
        <w:rPr>
          <w:rFonts w:ascii="Segoe UI" w:hAnsi="Segoe UI" w:cs="Segoe UI"/>
          <w:color w:val="212121"/>
          <w:shd w:val="clear" w:color="auto" w:fill="FFFFFF"/>
        </w:rPr>
        <w:t>Jan;71:24</w:t>
      </w:r>
      <w:proofErr w:type="gramEnd"/>
      <w:r>
        <w:rPr>
          <w:rFonts w:ascii="Segoe UI" w:hAnsi="Segoe UI" w:cs="Segoe UI"/>
          <w:color w:val="212121"/>
          <w:shd w:val="clear" w:color="auto" w:fill="FFFFFF"/>
        </w:rPr>
        <w:t xml:space="preserve">-28.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10.1016/j.clinbiomech.2019.09.007.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2019 Oct 5. PMID: 31677547.</w:t>
      </w:r>
    </w:p>
    <w:p w14:paraId="4F6C9A26" w14:textId="6E2ECDA2" w:rsidR="001B5130" w:rsidRPr="005D7EB1" w:rsidRDefault="001B5130" w:rsidP="005D7EB1">
      <w:pPr>
        <w:rPr>
          <w:b/>
        </w:rPr>
      </w:pPr>
      <w:r w:rsidRPr="005D7EB1">
        <w:rPr>
          <w:b/>
        </w:rPr>
        <w:t>Contact information</w:t>
      </w:r>
    </w:p>
    <w:p w14:paraId="1462927A" w14:textId="4471E473" w:rsidR="001B5130" w:rsidRDefault="001B5130" w:rsidP="001B5130">
      <w:r>
        <w:t xml:space="preserve">For details and general info please feel free to contact </w:t>
      </w:r>
      <w:r w:rsidR="00705EC0">
        <w:t>Nikki Basson</w:t>
      </w:r>
      <w:r>
        <w:t>:</w:t>
      </w:r>
    </w:p>
    <w:p w14:paraId="171425FD" w14:textId="01B84BE6" w:rsidR="009A2316" w:rsidRDefault="008D57B3" w:rsidP="008D57B3">
      <w:pPr>
        <w:spacing w:after="0"/>
      </w:pPr>
      <w:r>
        <w:rPr>
          <w:b/>
        </w:rPr>
        <w:t>E</w:t>
      </w:r>
      <w:r w:rsidR="001B5130" w:rsidRPr="007E45DA">
        <w:rPr>
          <w:b/>
        </w:rPr>
        <w:t>-mail</w:t>
      </w:r>
      <w:r w:rsidR="007E45DA">
        <w:tab/>
      </w:r>
      <w:r w:rsidR="007E45DA">
        <w:tab/>
      </w:r>
      <w:r w:rsidR="00705EC0">
        <w:t>n.basson</w:t>
      </w:r>
      <w:r w:rsidR="001B5130">
        <w:t>@utwente.nl</w:t>
      </w:r>
    </w:p>
    <w:sectPr w:rsidR="009A2316" w:rsidSect="00CE2743">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010"/>
    <w:multiLevelType w:val="hybridMultilevel"/>
    <w:tmpl w:val="5A0E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B1B87"/>
    <w:multiLevelType w:val="hybridMultilevel"/>
    <w:tmpl w:val="75940FE0"/>
    <w:lvl w:ilvl="0" w:tplc="B1407E6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54263"/>
    <w:multiLevelType w:val="hybridMultilevel"/>
    <w:tmpl w:val="1E8AD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164E03"/>
    <w:multiLevelType w:val="hybridMultilevel"/>
    <w:tmpl w:val="1386804C"/>
    <w:lvl w:ilvl="0" w:tplc="A8AA1B8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13921"/>
    <w:multiLevelType w:val="hybridMultilevel"/>
    <w:tmpl w:val="11CAF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D27C48"/>
    <w:multiLevelType w:val="hybridMultilevel"/>
    <w:tmpl w:val="85E8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87DD7"/>
    <w:multiLevelType w:val="hybridMultilevel"/>
    <w:tmpl w:val="EFA2C688"/>
    <w:lvl w:ilvl="0" w:tplc="A8AA1B8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94827"/>
    <w:multiLevelType w:val="hybridMultilevel"/>
    <w:tmpl w:val="8AA2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DF1D47"/>
    <w:multiLevelType w:val="hybridMultilevel"/>
    <w:tmpl w:val="05388206"/>
    <w:lvl w:ilvl="0" w:tplc="A8AA1B8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05301"/>
    <w:multiLevelType w:val="hybridMultilevel"/>
    <w:tmpl w:val="2670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43DEE"/>
    <w:multiLevelType w:val="hybridMultilevel"/>
    <w:tmpl w:val="1F68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207729">
    <w:abstractNumId w:val="9"/>
  </w:num>
  <w:num w:numId="2" w16cid:durableId="227425773">
    <w:abstractNumId w:val="5"/>
  </w:num>
  <w:num w:numId="3" w16cid:durableId="1550023221">
    <w:abstractNumId w:val="7"/>
  </w:num>
  <w:num w:numId="4" w16cid:durableId="830024382">
    <w:abstractNumId w:val="0"/>
  </w:num>
  <w:num w:numId="5" w16cid:durableId="109402406">
    <w:abstractNumId w:val="8"/>
  </w:num>
  <w:num w:numId="6" w16cid:durableId="491991737">
    <w:abstractNumId w:val="4"/>
  </w:num>
  <w:num w:numId="7" w16cid:durableId="1473138981">
    <w:abstractNumId w:val="6"/>
  </w:num>
  <w:num w:numId="8" w16cid:durableId="2108961642">
    <w:abstractNumId w:val="3"/>
  </w:num>
  <w:num w:numId="9" w16cid:durableId="1730958337">
    <w:abstractNumId w:val="10"/>
  </w:num>
  <w:num w:numId="10" w16cid:durableId="218828961">
    <w:abstractNumId w:val="2"/>
  </w:num>
  <w:num w:numId="11" w16cid:durableId="310909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ys7QwNzexMDU0tzRR0lEKTi0uzszPAykwrgUAaLsLWSwAAAA="/>
  </w:docVars>
  <w:rsids>
    <w:rsidRoot w:val="00F844D1"/>
    <w:rsid w:val="00037B20"/>
    <w:rsid w:val="000A050D"/>
    <w:rsid w:val="00117B0C"/>
    <w:rsid w:val="001750B8"/>
    <w:rsid w:val="001B49EF"/>
    <w:rsid w:val="001B5130"/>
    <w:rsid w:val="002002E3"/>
    <w:rsid w:val="00203871"/>
    <w:rsid w:val="0022129F"/>
    <w:rsid w:val="0025739A"/>
    <w:rsid w:val="002A57B5"/>
    <w:rsid w:val="003026C8"/>
    <w:rsid w:val="0043715D"/>
    <w:rsid w:val="00452A22"/>
    <w:rsid w:val="00474747"/>
    <w:rsid w:val="0048351D"/>
    <w:rsid w:val="005812D8"/>
    <w:rsid w:val="005B1255"/>
    <w:rsid w:val="005D7EB1"/>
    <w:rsid w:val="006378C7"/>
    <w:rsid w:val="00673AFE"/>
    <w:rsid w:val="00685DC7"/>
    <w:rsid w:val="00694407"/>
    <w:rsid w:val="00697E03"/>
    <w:rsid w:val="00705EC0"/>
    <w:rsid w:val="00752803"/>
    <w:rsid w:val="007B2734"/>
    <w:rsid w:val="007E45DA"/>
    <w:rsid w:val="007E4944"/>
    <w:rsid w:val="00873F3D"/>
    <w:rsid w:val="008D57B3"/>
    <w:rsid w:val="00962C06"/>
    <w:rsid w:val="009A2316"/>
    <w:rsid w:val="00A23FFB"/>
    <w:rsid w:val="00A56C2E"/>
    <w:rsid w:val="00A621EE"/>
    <w:rsid w:val="00AF6971"/>
    <w:rsid w:val="00B43587"/>
    <w:rsid w:val="00C047DB"/>
    <w:rsid w:val="00CB3A4D"/>
    <w:rsid w:val="00CE2743"/>
    <w:rsid w:val="00CE51BD"/>
    <w:rsid w:val="00CF4D88"/>
    <w:rsid w:val="00D118A1"/>
    <w:rsid w:val="00DB12E6"/>
    <w:rsid w:val="00DD2FA6"/>
    <w:rsid w:val="00DE6D1C"/>
    <w:rsid w:val="00E02E5A"/>
    <w:rsid w:val="00E145A2"/>
    <w:rsid w:val="00E323CF"/>
    <w:rsid w:val="00E74044"/>
    <w:rsid w:val="00F37EAA"/>
    <w:rsid w:val="00F802CA"/>
    <w:rsid w:val="00F844D1"/>
    <w:rsid w:val="00FC46BA"/>
    <w:rsid w:val="00FC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09A3"/>
  <w15:chartTrackingRefBased/>
  <w15:docId w15:val="{B18B03D8-FD69-4F86-A468-C1D29AD7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E6"/>
    <w:rPr>
      <w:rFonts w:ascii="Times New Roman" w:hAnsi="Times New Roman"/>
    </w:rPr>
  </w:style>
  <w:style w:type="paragraph" w:styleId="Heading1">
    <w:name w:val="heading 1"/>
    <w:basedOn w:val="Normal"/>
    <w:link w:val="Heading1Char"/>
    <w:uiPriority w:val="9"/>
    <w:qFormat/>
    <w:rsid w:val="00DB12E6"/>
    <w:pPr>
      <w:numPr>
        <w:numId w:val="11"/>
      </w:numPr>
      <w:spacing w:before="240" w:after="120" w:line="240" w:lineRule="auto"/>
      <w:ind w:left="357" w:hanging="357"/>
      <w:outlineLvl w:val="0"/>
    </w:pPr>
    <w:rPr>
      <w:rFonts w:eastAsia="Times New Roman" w:cs="Times New Roman"/>
      <w:b/>
      <w:bCs/>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130"/>
    <w:pPr>
      <w:ind w:left="720"/>
      <w:contextualSpacing/>
    </w:pPr>
  </w:style>
  <w:style w:type="character" w:styleId="Hyperlink">
    <w:name w:val="Hyperlink"/>
    <w:basedOn w:val="DefaultParagraphFont"/>
    <w:uiPriority w:val="99"/>
    <w:unhideWhenUsed/>
    <w:rsid w:val="00C047DB"/>
    <w:rPr>
      <w:color w:val="0563C1" w:themeColor="hyperlink"/>
      <w:u w:val="single"/>
    </w:rPr>
  </w:style>
  <w:style w:type="character" w:customStyle="1" w:styleId="Heading1Char">
    <w:name w:val="Heading 1 Char"/>
    <w:basedOn w:val="DefaultParagraphFont"/>
    <w:link w:val="Heading1"/>
    <w:uiPriority w:val="9"/>
    <w:rsid w:val="00DB12E6"/>
    <w:rPr>
      <w:rFonts w:ascii="Times New Roman" w:eastAsia="Times New Roman" w:hAnsi="Times New Roman" w:cs="Times New Roman"/>
      <w:b/>
      <w:bCs/>
      <w:kern w:val="36"/>
      <w:sz w:val="32"/>
      <w:szCs w:val="48"/>
    </w:rPr>
  </w:style>
  <w:style w:type="character" w:styleId="FollowedHyperlink">
    <w:name w:val="FollowedHyperlink"/>
    <w:basedOn w:val="DefaultParagraphFont"/>
    <w:uiPriority w:val="99"/>
    <w:semiHidden/>
    <w:unhideWhenUsed/>
    <w:rsid w:val="000A050D"/>
    <w:rPr>
      <w:color w:val="954F72" w:themeColor="followedHyperlink"/>
      <w:u w:val="single"/>
    </w:rPr>
  </w:style>
  <w:style w:type="paragraph" w:styleId="BalloonText">
    <w:name w:val="Balloon Text"/>
    <w:basedOn w:val="Normal"/>
    <w:link w:val="BalloonTextChar"/>
    <w:uiPriority w:val="99"/>
    <w:semiHidden/>
    <w:unhideWhenUsed/>
    <w:rsid w:val="00221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29F"/>
    <w:rPr>
      <w:rFonts w:ascii="Segoe UI" w:hAnsi="Segoe UI" w:cs="Segoe UI"/>
      <w:sz w:val="18"/>
      <w:szCs w:val="18"/>
    </w:rPr>
  </w:style>
  <w:style w:type="character" w:styleId="UnresolvedMention">
    <w:name w:val="Unresolved Mention"/>
    <w:basedOn w:val="DefaultParagraphFont"/>
    <w:uiPriority w:val="99"/>
    <w:semiHidden/>
    <w:unhideWhenUsed/>
    <w:rsid w:val="005D7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3290">
      <w:bodyDiv w:val="1"/>
      <w:marLeft w:val="0"/>
      <w:marRight w:val="0"/>
      <w:marTop w:val="0"/>
      <w:marBottom w:val="0"/>
      <w:divBdr>
        <w:top w:val="none" w:sz="0" w:space="0" w:color="auto"/>
        <w:left w:val="none" w:sz="0" w:space="0" w:color="auto"/>
        <w:bottom w:val="none" w:sz="0" w:space="0" w:color="auto"/>
        <w:right w:val="none" w:sz="0" w:space="0" w:color="auto"/>
      </w:divBdr>
    </w:div>
    <w:div w:id="529534691">
      <w:bodyDiv w:val="1"/>
      <w:marLeft w:val="0"/>
      <w:marRight w:val="0"/>
      <w:marTop w:val="0"/>
      <w:marBottom w:val="0"/>
      <w:divBdr>
        <w:top w:val="none" w:sz="0" w:space="0" w:color="auto"/>
        <w:left w:val="none" w:sz="0" w:space="0" w:color="auto"/>
        <w:bottom w:val="none" w:sz="0" w:space="0" w:color="auto"/>
        <w:right w:val="none" w:sz="0" w:space="0" w:color="auto"/>
      </w:divBdr>
    </w:div>
    <w:div w:id="8810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1677547/" TargetMode="External"/><Relationship Id="rId3" Type="http://schemas.openxmlformats.org/officeDocument/2006/relationships/settings" Target="settings.xml"/><Relationship Id="rId7" Type="http://schemas.openxmlformats.org/officeDocument/2006/relationships/hyperlink" Target="https://doi.org/10.1186/s12886-017-0608-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nursing-and-health-professions/goldmann-applanation-tonomete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dc:creator>
  <cp:keywords/>
  <dc:description/>
  <cp:lastModifiedBy>Editor</cp:lastModifiedBy>
  <cp:revision>9</cp:revision>
  <cp:lastPrinted>2018-02-15T07:42:00Z</cp:lastPrinted>
  <dcterms:created xsi:type="dcterms:W3CDTF">2022-10-03T11:34:00Z</dcterms:created>
  <dcterms:modified xsi:type="dcterms:W3CDTF">2022-10-09T07:17:00Z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9ae006196d760209bb99d918db2a2648504b1a5c58fb6ed7dc5675ac07686718</vt:lpwstr>
  </property>
</Properties>
</file>